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FF" w:rsidRPr="00CA1DFF" w:rsidRDefault="00CA1DFF" w:rsidP="00D77132">
      <w:pPr>
        <w:rPr>
          <w:rFonts w:ascii="Arial" w:hAnsi="Arial" w:cs="Arial"/>
          <w:u w:val="single"/>
        </w:rPr>
      </w:pPr>
      <w:r w:rsidRPr="00CA1DFF">
        <w:rPr>
          <w:rFonts w:ascii="Arial" w:hAnsi="Arial" w:cs="Arial"/>
          <w:u w:val="single"/>
        </w:rPr>
        <w:t>Introduction</w:t>
      </w:r>
    </w:p>
    <w:p w:rsidR="00D77132" w:rsidRDefault="00CA1DFF" w:rsidP="00CA1DFF">
      <w:pPr>
        <w:spacing w:after="200" w:line="276" w:lineRule="auto"/>
        <w:rPr>
          <w:rFonts w:ascii="Arial" w:hAnsi="Arial" w:cs="Arial"/>
        </w:rPr>
      </w:pPr>
      <w:r w:rsidRPr="00CA1DFF">
        <w:rPr>
          <w:rFonts w:ascii="Arial" w:hAnsi="Arial" w:cs="Arial"/>
        </w:rPr>
        <w:t xml:space="preserve">The Improvement and Development Agency (IDeA) is owned by the Local Government Association (LGA). </w:t>
      </w:r>
      <w:r w:rsidR="00D77132">
        <w:rPr>
          <w:rFonts w:ascii="Arial" w:hAnsi="Arial" w:cs="Arial"/>
        </w:rPr>
        <w:t xml:space="preserve">The IDeA receives RSG topslice to pay for improvement services to councils. While most of the staff delivering this service </w:t>
      </w:r>
      <w:proofErr w:type="gramStart"/>
      <w:r w:rsidR="00D77132">
        <w:rPr>
          <w:rFonts w:ascii="Arial" w:hAnsi="Arial" w:cs="Arial"/>
        </w:rPr>
        <w:t>are</w:t>
      </w:r>
      <w:proofErr w:type="gramEnd"/>
      <w:r w:rsidR="00D77132">
        <w:rPr>
          <w:rFonts w:ascii="Arial" w:hAnsi="Arial" w:cs="Arial"/>
        </w:rPr>
        <w:t xml:space="preserve"> employed directly by the IDeA and the associated programme costs are incurred directly by the IDeA, the LGA also </w:t>
      </w:r>
      <w:r w:rsidR="00C53C60">
        <w:rPr>
          <w:rFonts w:ascii="Arial" w:hAnsi="Arial" w:cs="Arial"/>
        </w:rPr>
        <w:t>incurs</w:t>
      </w:r>
      <w:r w:rsidR="00D77132">
        <w:rPr>
          <w:rFonts w:ascii="Arial" w:hAnsi="Arial" w:cs="Arial"/>
        </w:rPr>
        <w:t xml:space="preserve"> costs in relation to the delivery of these improvement services. The IDeA will therefore pay a grant of £</w:t>
      </w:r>
      <w:r w:rsidR="00406AFB">
        <w:rPr>
          <w:rFonts w:ascii="Arial" w:hAnsi="Arial" w:cs="Arial"/>
        </w:rPr>
        <w:t>4.02m</w:t>
      </w:r>
      <w:r w:rsidR="00D77132">
        <w:rPr>
          <w:rFonts w:ascii="Arial" w:hAnsi="Arial" w:cs="Arial"/>
        </w:rPr>
        <w:t xml:space="preserve"> to the LGA in </w:t>
      </w:r>
      <w:r w:rsidR="00406AFB">
        <w:rPr>
          <w:rFonts w:ascii="Arial" w:hAnsi="Arial" w:cs="Arial"/>
        </w:rPr>
        <w:t>2015-16</w:t>
      </w:r>
      <w:r w:rsidR="00D77132">
        <w:rPr>
          <w:rFonts w:ascii="Arial" w:hAnsi="Arial" w:cs="Arial"/>
        </w:rPr>
        <w:t xml:space="preserve"> in recognition of this – in effect all</w:t>
      </w:r>
      <w:r w:rsidR="00CF06BB">
        <w:rPr>
          <w:rFonts w:ascii="Arial" w:hAnsi="Arial" w:cs="Arial"/>
        </w:rPr>
        <w:t>ocating RSG topslice to the LGA for the period ending 31</w:t>
      </w:r>
      <w:r w:rsidR="00CF06BB" w:rsidRPr="00CF06BB">
        <w:rPr>
          <w:rFonts w:ascii="Arial" w:hAnsi="Arial" w:cs="Arial"/>
          <w:vertAlign w:val="superscript"/>
        </w:rPr>
        <w:t>st</w:t>
      </w:r>
      <w:r w:rsidR="00406AFB">
        <w:rPr>
          <w:rFonts w:ascii="Arial" w:hAnsi="Arial" w:cs="Arial"/>
        </w:rPr>
        <w:t xml:space="preserve"> March 2016</w:t>
      </w:r>
      <w:r w:rsidR="00CF06BB">
        <w:rPr>
          <w:rFonts w:ascii="Arial" w:hAnsi="Arial" w:cs="Arial"/>
        </w:rPr>
        <w:t>.</w:t>
      </w:r>
    </w:p>
    <w:p w:rsidR="00CA1DFF" w:rsidRPr="00CA1DFF" w:rsidRDefault="00CA1DFF" w:rsidP="00D77132">
      <w:pPr>
        <w:rPr>
          <w:rFonts w:ascii="Arial" w:hAnsi="Arial" w:cs="Arial"/>
          <w:u w:val="single"/>
        </w:rPr>
      </w:pPr>
      <w:r w:rsidRPr="00CA1DFF">
        <w:rPr>
          <w:rFonts w:ascii="Arial" w:hAnsi="Arial" w:cs="Arial"/>
          <w:u w:val="single"/>
        </w:rPr>
        <w:t>Context</w:t>
      </w:r>
    </w:p>
    <w:p w:rsidR="00D77132" w:rsidRDefault="00CA1DFF" w:rsidP="00D7713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7132">
        <w:rPr>
          <w:rFonts w:ascii="Arial" w:hAnsi="Arial" w:cs="Arial"/>
        </w:rPr>
        <w:t xml:space="preserve">he following services </w:t>
      </w:r>
      <w:r>
        <w:rPr>
          <w:rFonts w:ascii="Arial" w:hAnsi="Arial" w:cs="Arial"/>
        </w:rPr>
        <w:t xml:space="preserve">are </w:t>
      </w:r>
      <w:r w:rsidR="00D77132">
        <w:rPr>
          <w:rFonts w:ascii="Arial" w:hAnsi="Arial" w:cs="Arial"/>
        </w:rPr>
        <w:t>provided by the LGA in support of the IDeA’s improvement activities:</w:t>
      </w:r>
    </w:p>
    <w:p w:rsidR="00D77132" w:rsidRDefault="00D77132" w:rsidP="00D77132">
      <w:pPr>
        <w:rPr>
          <w:rFonts w:ascii="Arial" w:hAnsi="Arial" w:cs="Arial"/>
        </w:rPr>
      </w:pPr>
    </w:p>
    <w:p w:rsidR="00D77132" w:rsidRDefault="00CA1DFF" w:rsidP="00D7713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77132">
        <w:rPr>
          <w:rFonts w:ascii="Arial" w:hAnsi="Arial" w:cs="Arial"/>
        </w:rPr>
        <w:t>taffing and other costs in relation to:</w:t>
      </w:r>
    </w:p>
    <w:p w:rsidR="00CA1DFF" w:rsidRDefault="00CA1DFF" w:rsidP="00D77132">
      <w:pPr>
        <w:rPr>
          <w:rFonts w:ascii="Arial" w:hAnsi="Arial" w:cs="Arial"/>
        </w:rPr>
      </w:pP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services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Political Group Offices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Business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and Policy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Government Support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Improvement Support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Leadership and Localism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Productivity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and Information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Workforce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Conferences and Events</w:t>
      </w:r>
    </w:p>
    <w:p w:rsidR="00D77132" w:rsidRDefault="00C53C60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C</w:t>
      </w:r>
      <w:r w:rsidR="00D77132">
        <w:rPr>
          <w:rFonts w:ascii="Arial" w:hAnsi="Arial" w:cs="Arial"/>
        </w:rPr>
        <w:t>omm</w:t>
      </w:r>
      <w:r>
        <w:rPr>
          <w:rFonts w:ascii="Arial" w:hAnsi="Arial" w:cs="Arial"/>
        </w:rPr>
        <w:t>unication</w:t>
      </w:r>
      <w:r w:rsidR="00D77132">
        <w:rPr>
          <w:rFonts w:ascii="Arial" w:hAnsi="Arial" w:cs="Arial"/>
        </w:rPr>
        <w:t>s</w:t>
      </w:r>
    </w:p>
    <w:p w:rsidR="00D77132" w:rsidRPr="00CA1DFF" w:rsidRDefault="00C53C60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DFF">
        <w:rPr>
          <w:rFonts w:ascii="Arial" w:hAnsi="Arial" w:cs="Arial"/>
        </w:rPr>
        <w:t>Internal C</w:t>
      </w:r>
      <w:r w:rsidR="00D77132" w:rsidRPr="00CA1DFF">
        <w:rPr>
          <w:rFonts w:ascii="Arial" w:hAnsi="Arial" w:cs="Arial"/>
        </w:rPr>
        <w:t>omm</w:t>
      </w:r>
      <w:r w:rsidRPr="00CA1DFF">
        <w:rPr>
          <w:rFonts w:ascii="Arial" w:hAnsi="Arial" w:cs="Arial"/>
        </w:rPr>
        <w:t>unications</w:t>
      </w:r>
    </w:p>
    <w:p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HR</w:t>
      </w:r>
    </w:p>
    <w:p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Legal support</w:t>
      </w:r>
    </w:p>
    <w:p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Business support</w:t>
      </w:r>
    </w:p>
    <w:p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ICT </w:t>
      </w:r>
    </w:p>
    <w:p w:rsidR="00D77132" w:rsidRDefault="00D77132" w:rsidP="00D77132">
      <w:pPr>
        <w:rPr>
          <w:rFonts w:ascii="Arial" w:hAnsi="Arial" w:cs="Arial"/>
        </w:rPr>
      </w:pPr>
    </w:p>
    <w:p w:rsidR="00D77132" w:rsidRDefault="00D77132" w:rsidP="00D77132">
      <w:pPr>
        <w:rPr>
          <w:rFonts w:ascii="Arial" w:hAnsi="Arial" w:cs="Arial"/>
        </w:rPr>
      </w:pPr>
      <w:r>
        <w:rPr>
          <w:rFonts w:ascii="Arial" w:hAnsi="Arial" w:cs="Arial"/>
        </w:rPr>
        <w:t>The IDeA’s budget also includes provision for the following additional payments to the LGA:</w:t>
      </w:r>
    </w:p>
    <w:p w:rsidR="00D77132" w:rsidRDefault="00D77132" w:rsidP="00D77132">
      <w:pPr>
        <w:rPr>
          <w:rFonts w:ascii="Arial" w:hAnsi="Arial" w:cs="Arial"/>
        </w:rPr>
      </w:pPr>
    </w:p>
    <w:p w:rsidR="00D77132" w:rsidRDefault="00406AFB" w:rsidP="00D771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£2.13</w:t>
      </w:r>
      <w:r w:rsidR="00D77132">
        <w:rPr>
          <w:rFonts w:ascii="Arial" w:hAnsi="Arial" w:cs="Arial"/>
        </w:rPr>
        <w:t xml:space="preserve">m for </w:t>
      </w:r>
      <w:proofErr w:type="spellStart"/>
      <w:r w:rsidR="00D77132">
        <w:rPr>
          <w:rFonts w:ascii="Arial" w:hAnsi="Arial" w:cs="Arial"/>
        </w:rPr>
        <w:t>IDeA’s</w:t>
      </w:r>
      <w:proofErr w:type="spellEnd"/>
      <w:r w:rsidR="00D77132">
        <w:rPr>
          <w:rFonts w:ascii="Arial" w:hAnsi="Arial" w:cs="Arial"/>
        </w:rPr>
        <w:t xml:space="preserve"> contribution to the Liberata contract</w:t>
      </w:r>
    </w:p>
    <w:p w:rsidR="00A37257" w:rsidRDefault="00A37257" w:rsidP="00D771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£1.21m for </w:t>
      </w:r>
      <w:proofErr w:type="spellStart"/>
      <w:r>
        <w:rPr>
          <w:rFonts w:ascii="Arial" w:hAnsi="Arial" w:cs="Arial"/>
        </w:rPr>
        <w:t>IDeA’s</w:t>
      </w:r>
      <w:proofErr w:type="spellEnd"/>
      <w:r>
        <w:rPr>
          <w:rFonts w:ascii="Arial" w:hAnsi="Arial" w:cs="Arial"/>
        </w:rPr>
        <w:t xml:space="preserve"> contribution to delivery and other support costs incurred by the LGA for improvement work</w:t>
      </w:r>
    </w:p>
    <w:p w:rsidR="00D77132" w:rsidRDefault="00BF34E4" w:rsidP="00D771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406AFB">
        <w:rPr>
          <w:rFonts w:ascii="Arial" w:hAnsi="Arial" w:cs="Arial"/>
        </w:rPr>
        <w:t>0.74m</w:t>
      </w:r>
      <w:r w:rsidR="00D77132">
        <w:rPr>
          <w:rFonts w:ascii="Arial" w:hAnsi="Arial" w:cs="Arial"/>
        </w:rPr>
        <w:t xml:space="preserve"> for accommodation costs at Local Government House</w:t>
      </w:r>
      <w:r w:rsidR="00A37257">
        <w:rPr>
          <w:rFonts w:ascii="Arial" w:hAnsi="Arial" w:cs="Arial"/>
        </w:rPr>
        <w:t xml:space="preserve"> - charged by LGA (Properties) Ltd.</w:t>
      </w:r>
      <w:bookmarkStart w:id="0" w:name="_GoBack"/>
      <w:bookmarkEnd w:id="0"/>
    </w:p>
    <w:p w:rsidR="00845D0D" w:rsidRDefault="00845D0D"/>
    <w:p w:rsidR="00BF34E4" w:rsidRDefault="00BF34E4"/>
    <w:p w:rsidR="00CF06BB" w:rsidRDefault="0018630A">
      <w:pPr>
        <w:rPr>
          <w:u w:val="single"/>
        </w:rPr>
      </w:pPr>
      <w:r w:rsidRPr="0018630A">
        <w:rPr>
          <w:rFonts w:ascii="Arial" w:hAnsi="Arial" w:cs="Arial"/>
          <w:u w:val="single"/>
        </w:rPr>
        <w:t>Review</w:t>
      </w:r>
    </w:p>
    <w:p w:rsid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  <w:r w:rsidRPr="0018630A">
        <w:rPr>
          <w:rFonts w:ascii="Arial" w:eastAsiaTheme="minorHAnsi" w:hAnsi="Arial" w:cs="Arial"/>
        </w:rPr>
        <w:t>This Service Level Agreement will be reviewed</w:t>
      </w:r>
      <w:r>
        <w:rPr>
          <w:rFonts w:ascii="Arial" w:eastAsiaTheme="minorHAnsi" w:hAnsi="Arial" w:cs="Arial"/>
        </w:rPr>
        <w:t xml:space="preserve"> </w:t>
      </w:r>
      <w:r w:rsidRPr="0018630A">
        <w:rPr>
          <w:rFonts w:ascii="Arial" w:eastAsiaTheme="minorHAnsi" w:hAnsi="Arial" w:cs="Arial"/>
        </w:rPr>
        <w:t xml:space="preserve">for </w:t>
      </w:r>
      <w:r w:rsidR="00406AFB">
        <w:rPr>
          <w:rFonts w:ascii="Arial" w:eastAsiaTheme="minorHAnsi" w:hAnsi="Arial" w:cs="Arial"/>
        </w:rPr>
        <w:t>2016-17 in February 2016</w:t>
      </w:r>
      <w:r w:rsidRPr="0018630A">
        <w:rPr>
          <w:rFonts w:ascii="Arial" w:eastAsiaTheme="minorHAnsi" w:hAnsi="Arial" w:cs="Arial"/>
        </w:rPr>
        <w:t>.</w:t>
      </w:r>
    </w:p>
    <w:p w:rsid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</w:p>
    <w:p w:rsidR="007B67EA" w:rsidRDefault="007B67EA" w:rsidP="0018630A">
      <w:pPr>
        <w:spacing w:after="200" w:line="276" w:lineRule="auto"/>
        <w:rPr>
          <w:rFonts w:ascii="Arial" w:eastAsiaTheme="minorHAnsi" w:hAnsi="Arial" w:cs="Arial"/>
        </w:rPr>
      </w:pPr>
    </w:p>
    <w:p w:rsidR="00406AFB" w:rsidRDefault="00406AFB" w:rsidP="0018630A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18630A" w:rsidRPr="0018630A" w:rsidTr="00E93D9F">
        <w:tc>
          <w:tcPr>
            <w:tcW w:w="9242" w:type="dxa"/>
            <w:gridSpan w:val="2"/>
          </w:tcPr>
          <w:p w:rsidR="0018630A" w:rsidRPr="0018630A" w:rsidRDefault="0018630A" w:rsidP="006B3D5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 xml:space="preserve">Signed by person authorised to sign on behalf of </w:t>
            </w:r>
            <w:r>
              <w:rPr>
                <w:rFonts w:ascii="Arial" w:eastAsiaTheme="minorHAnsi" w:hAnsi="Arial" w:cs="Arial"/>
              </w:rPr>
              <w:t>Local Government Association.</w:t>
            </w: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Date</w:t>
            </w: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:rsidR="00725393" w:rsidRPr="0018630A" w:rsidRDefault="00725393" w:rsidP="00406AFB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Signature</w:t>
            </w: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Name (please print)</w:t>
            </w: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:rsid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725393" w:rsidRPr="0018630A" w:rsidRDefault="00725393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Cllr David Sparks</w:t>
            </w: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Position in organisation</w:t>
            </w:r>
          </w:p>
        </w:tc>
        <w:tc>
          <w:tcPr>
            <w:tcW w:w="4621" w:type="dxa"/>
          </w:tcPr>
          <w:p w:rsidR="0018630A" w:rsidRPr="0018630A" w:rsidRDefault="006B3D5D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Chair of Local Government Association</w:t>
            </w:r>
          </w:p>
        </w:tc>
      </w:tr>
    </w:tbl>
    <w:p w:rsidR="0018630A" w:rsidRP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55"/>
        <w:gridCol w:w="4267"/>
      </w:tblGrid>
      <w:tr w:rsidR="0018630A" w:rsidRPr="0018630A" w:rsidTr="00E93D9F">
        <w:tc>
          <w:tcPr>
            <w:tcW w:w="9242" w:type="dxa"/>
            <w:gridSpan w:val="2"/>
          </w:tcPr>
          <w:p w:rsidR="0018630A" w:rsidRPr="0018630A" w:rsidRDefault="0018630A" w:rsidP="006B3D5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 xml:space="preserve">Signed by person authorised to sign on behalf of </w:t>
            </w:r>
            <w:r>
              <w:rPr>
                <w:rFonts w:ascii="Arial" w:eastAsiaTheme="minorHAnsi" w:hAnsi="Arial" w:cs="Arial"/>
              </w:rPr>
              <w:t>Improvement and Development Agency.</w:t>
            </w: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Date</w:t>
            </w: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Signature</w:t>
            </w: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Name (please print)</w:t>
            </w:r>
          </w:p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:rsid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5B19DB" w:rsidRPr="0018630A" w:rsidRDefault="005B19DB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Cllr Peter Fleming</w:t>
            </w:r>
          </w:p>
        </w:tc>
      </w:tr>
      <w:tr w:rsidR="0018630A" w:rsidRPr="0018630A" w:rsidTr="00E93D9F">
        <w:tc>
          <w:tcPr>
            <w:tcW w:w="4621" w:type="dxa"/>
          </w:tcPr>
          <w:p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Position in organisation</w:t>
            </w:r>
          </w:p>
        </w:tc>
        <w:tc>
          <w:tcPr>
            <w:tcW w:w="4621" w:type="dxa"/>
          </w:tcPr>
          <w:p w:rsidR="0018630A" w:rsidRPr="0018630A" w:rsidRDefault="006B3D5D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Chair of Improvement and Development Agency</w:t>
            </w:r>
          </w:p>
        </w:tc>
      </w:tr>
    </w:tbl>
    <w:p w:rsidR="0018630A" w:rsidRPr="0018630A" w:rsidRDefault="0018630A"/>
    <w:sectPr w:rsidR="0018630A" w:rsidRPr="0018630A" w:rsidSect="00BB473E">
      <w:headerReference w:type="default" r:id="rId8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60" w:rsidRDefault="00C53C60" w:rsidP="00C53C60">
      <w:r>
        <w:separator/>
      </w:r>
    </w:p>
  </w:endnote>
  <w:endnote w:type="continuationSeparator" w:id="0">
    <w:p w:rsidR="00C53C60" w:rsidRDefault="00C53C60" w:rsidP="00C5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60" w:rsidRDefault="00C53C60" w:rsidP="00C53C60">
      <w:r>
        <w:separator/>
      </w:r>
    </w:p>
  </w:footnote>
  <w:footnote w:type="continuationSeparator" w:id="0">
    <w:p w:rsidR="00C53C60" w:rsidRDefault="00C53C60" w:rsidP="00C5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7" w:rsidRPr="00A37257" w:rsidRDefault="00A37257" w:rsidP="00A37257">
    <w:pPr>
      <w:spacing w:after="200" w:line="276" w:lineRule="auto"/>
      <w:jc w:val="right"/>
      <w:rPr>
        <w:rFonts w:ascii="Arial" w:eastAsiaTheme="minorHAnsi" w:hAnsi="Arial" w:cs="Arial"/>
        <w:sz w:val="24"/>
        <w:szCs w:val="24"/>
      </w:rPr>
    </w:pPr>
    <w:r w:rsidRPr="00A37257">
      <w:rPr>
        <w:rFonts w:ascii="Arial" w:eastAsiaTheme="minorHAnsi" w:hAnsi="Arial" w:cs="Arial"/>
        <w:sz w:val="24"/>
        <w:szCs w:val="24"/>
      </w:rPr>
      <w:t>Appendix D</w:t>
    </w:r>
  </w:p>
  <w:p w:rsidR="00CA1DFF" w:rsidRPr="00CA1DFF" w:rsidRDefault="00CF06BB" w:rsidP="00CF06BB">
    <w:pPr>
      <w:spacing w:after="200" w:line="276" w:lineRule="auto"/>
      <w:jc w:val="center"/>
      <w:rPr>
        <w:rFonts w:ascii="Arial" w:eastAsiaTheme="minorHAnsi" w:hAnsi="Arial" w:cs="Arial"/>
        <w:b/>
        <w:sz w:val="24"/>
        <w:szCs w:val="24"/>
      </w:rPr>
    </w:pPr>
    <w:r w:rsidRPr="00CA1DFF">
      <w:rPr>
        <w:rFonts w:ascii="Arial" w:eastAsiaTheme="minorHAnsi" w:hAnsi="Arial" w:cs="Arial"/>
        <w:b/>
        <w:sz w:val="24"/>
        <w:szCs w:val="24"/>
      </w:rPr>
      <w:t xml:space="preserve">SERVICE LEVEL </w:t>
    </w:r>
    <w:r w:rsidRPr="00CF06BB">
      <w:rPr>
        <w:rFonts w:ascii="Arial" w:eastAsiaTheme="minorHAnsi" w:hAnsi="Arial" w:cs="Arial"/>
        <w:b/>
        <w:sz w:val="24"/>
        <w:szCs w:val="24"/>
      </w:rPr>
      <w:t xml:space="preserve">AGREEMENT BETWEEN </w:t>
    </w:r>
  </w:p>
  <w:p w:rsidR="00CF06BB" w:rsidRPr="00CF06BB" w:rsidRDefault="00CF06BB" w:rsidP="00CF06BB">
    <w:pPr>
      <w:spacing w:after="200" w:line="276" w:lineRule="auto"/>
      <w:jc w:val="center"/>
      <w:rPr>
        <w:rFonts w:ascii="Arial" w:eastAsiaTheme="minorHAnsi" w:hAnsi="Arial" w:cs="Arial"/>
        <w:b/>
        <w:sz w:val="24"/>
        <w:szCs w:val="24"/>
      </w:rPr>
    </w:pPr>
    <w:r w:rsidRPr="00CF06BB">
      <w:rPr>
        <w:rFonts w:ascii="Arial" w:eastAsiaTheme="minorHAnsi" w:hAnsi="Arial" w:cs="Arial"/>
        <w:b/>
        <w:sz w:val="24"/>
        <w:szCs w:val="24"/>
      </w:rPr>
      <w:t>THE LOCAL GOVERNMENT ASSOCIATION</w:t>
    </w:r>
    <w:r w:rsidR="00CA1DFF" w:rsidRPr="00CA1DFF">
      <w:rPr>
        <w:rFonts w:ascii="Arial" w:eastAsiaTheme="minorHAnsi" w:hAnsi="Arial" w:cs="Arial"/>
        <w:b/>
        <w:sz w:val="24"/>
        <w:szCs w:val="24"/>
      </w:rPr>
      <w:t xml:space="preserve"> </w:t>
    </w:r>
    <w:r w:rsidRPr="00CF06BB">
      <w:rPr>
        <w:rFonts w:ascii="Arial" w:eastAsiaTheme="minorHAnsi" w:hAnsi="Arial" w:cs="Arial"/>
        <w:b/>
        <w:sz w:val="24"/>
        <w:szCs w:val="24"/>
      </w:rPr>
      <w:t>and</w:t>
    </w:r>
  </w:p>
  <w:p w:rsidR="00CF06BB" w:rsidRPr="00CF06BB" w:rsidRDefault="00CF06BB" w:rsidP="00CF06BB">
    <w:pPr>
      <w:spacing w:after="200" w:line="276" w:lineRule="auto"/>
      <w:jc w:val="center"/>
      <w:rPr>
        <w:rFonts w:ascii="Arial" w:eastAsiaTheme="minorHAnsi" w:hAnsi="Arial" w:cs="Arial"/>
        <w:b/>
        <w:sz w:val="24"/>
        <w:szCs w:val="24"/>
      </w:rPr>
    </w:pPr>
    <w:r w:rsidRPr="00CA1DFF">
      <w:rPr>
        <w:rFonts w:ascii="Arial" w:eastAsiaTheme="minorHAnsi" w:hAnsi="Arial" w:cs="Arial"/>
        <w:b/>
        <w:sz w:val="24"/>
        <w:szCs w:val="24"/>
      </w:rPr>
      <w:t>IMPROVEMENT &amp; DEVELOPMENT AGENCY</w:t>
    </w:r>
    <w:r w:rsidR="00CA1DFF" w:rsidRPr="00CA1DFF">
      <w:rPr>
        <w:rFonts w:ascii="Arial" w:eastAsiaTheme="minorHAnsi" w:hAnsi="Arial" w:cs="Arial"/>
        <w:b/>
        <w:sz w:val="24"/>
        <w:szCs w:val="24"/>
      </w:rPr>
      <w:t xml:space="preserve"> </w:t>
    </w:r>
  </w:p>
  <w:p w:rsidR="00CF06BB" w:rsidRPr="00CF06BB" w:rsidRDefault="00CA1DFF" w:rsidP="00CF06BB">
    <w:pPr>
      <w:spacing w:after="200" w:line="276" w:lineRule="auto"/>
      <w:jc w:val="center"/>
      <w:rPr>
        <w:rFonts w:ascii="Arial" w:eastAsiaTheme="minorHAnsi" w:hAnsi="Arial" w:cs="Arial"/>
        <w:sz w:val="24"/>
        <w:szCs w:val="24"/>
      </w:rPr>
    </w:pPr>
    <w:r w:rsidRPr="00CA1DFF">
      <w:rPr>
        <w:rFonts w:ascii="Arial" w:eastAsiaTheme="minorHAnsi" w:hAnsi="Arial" w:cs="Arial"/>
        <w:sz w:val="24"/>
        <w:szCs w:val="24"/>
      </w:rPr>
      <w:t>Local Government Association</w:t>
    </w:r>
    <w:r w:rsidR="00CF06BB" w:rsidRPr="00CF06BB">
      <w:rPr>
        <w:rFonts w:ascii="Arial" w:eastAsiaTheme="minorHAnsi" w:hAnsi="Arial" w:cs="Arial"/>
        <w:sz w:val="24"/>
        <w:szCs w:val="24"/>
      </w:rPr>
      <w:t xml:space="preserve"> use of Revenue Support Grant in </w:t>
    </w:r>
    <w:r w:rsidR="00406AFB">
      <w:rPr>
        <w:rFonts w:ascii="Arial" w:eastAsiaTheme="minorHAnsi" w:hAnsi="Arial" w:cs="Arial"/>
        <w:sz w:val="24"/>
        <w:szCs w:val="24"/>
      </w:rPr>
      <w:t>2015-16</w:t>
    </w:r>
  </w:p>
  <w:p w:rsidR="00CF06BB" w:rsidRDefault="00CF06BB" w:rsidP="00CF06BB">
    <w:pPr>
      <w:rPr>
        <w:rFonts w:ascii="Arial" w:hAnsi="Arial" w:cs="Arial"/>
        <w:b/>
        <w:sz w:val="24"/>
        <w:szCs w:val="24"/>
        <w:u w:val="single"/>
      </w:rPr>
    </w:pPr>
  </w:p>
  <w:p w:rsidR="00C53C60" w:rsidRDefault="00C53C60" w:rsidP="00C53C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0DC"/>
    <w:multiLevelType w:val="hybridMultilevel"/>
    <w:tmpl w:val="F7D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03A0D"/>
    <w:multiLevelType w:val="hybridMultilevel"/>
    <w:tmpl w:val="A5C0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E0B"/>
    <w:multiLevelType w:val="hybridMultilevel"/>
    <w:tmpl w:val="BEC2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32"/>
    <w:rsid w:val="00003264"/>
    <w:rsid w:val="0018630A"/>
    <w:rsid w:val="002C3726"/>
    <w:rsid w:val="002D4089"/>
    <w:rsid w:val="00406AFB"/>
    <w:rsid w:val="005B19DB"/>
    <w:rsid w:val="006B3D5D"/>
    <w:rsid w:val="00725393"/>
    <w:rsid w:val="007B67EA"/>
    <w:rsid w:val="00845D0D"/>
    <w:rsid w:val="008A1F2A"/>
    <w:rsid w:val="00970C26"/>
    <w:rsid w:val="00A37257"/>
    <w:rsid w:val="00BB473E"/>
    <w:rsid w:val="00BF34E4"/>
    <w:rsid w:val="00C53C60"/>
    <w:rsid w:val="00CA1DFF"/>
    <w:rsid w:val="00CF06BB"/>
    <w:rsid w:val="00D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3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32"/>
    <w:pPr>
      <w:ind w:left="720"/>
    </w:pPr>
  </w:style>
  <w:style w:type="paragraph" w:styleId="Header">
    <w:name w:val="header"/>
    <w:basedOn w:val="Normal"/>
    <w:link w:val="HeaderChar"/>
    <w:uiPriority w:val="99"/>
    <w:rsid w:val="00C5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6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5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C6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5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C6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F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3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32"/>
    <w:pPr>
      <w:ind w:left="720"/>
    </w:pPr>
  </w:style>
  <w:style w:type="paragraph" w:styleId="Header">
    <w:name w:val="header"/>
    <w:basedOn w:val="Normal"/>
    <w:link w:val="HeaderChar"/>
    <w:uiPriority w:val="99"/>
    <w:rsid w:val="00C5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6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5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C6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5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C6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F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56615613-FEC1-4292-958F-BC94C3C610C0}"/>
</file>

<file path=customXml/itemProps2.xml><?xml version="1.0" encoding="utf-8"?>
<ds:datastoreItem xmlns:ds="http://schemas.openxmlformats.org/officeDocument/2006/customXml" ds:itemID="{77F94367-7668-45F6-97A8-5D245DF2BD71}"/>
</file>

<file path=customXml/itemProps3.xml><?xml version="1.0" encoding="utf-8"?>
<ds:datastoreItem xmlns:ds="http://schemas.openxmlformats.org/officeDocument/2006/customXml" ds:itemID="{9BE6CBE3-CAB2-4AD1-A76D-B213A3E8B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Leagas</dc:creator>
  <cp:lastModifiedBy>Tracey Blackman</cp:lastModifiedBy>
  <cp:revision>3</cp:revision>
  <cp:lastPrinted>2014-12-04T11:26:00Z</cp:lastPrinted>
  <dcterms:created xsi:type="dcterms:W3CDTF">2015-02-12T16:23:00Z</dcterms:created>
  <dcterms:modified xsi:type="dcterms:W3CDTF">2015-02-26T16:35:00Z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0x010100F3A958B6CCA9D141A0BD6E491460B668</vt:lpwstr>
  </op:property>
  <op:property fmtid="{D5CDD505-2E9C-101B-9397-08002B2CF9AE}" pid="3" name="Title">
    <vt:lpwstr>Budget SLA - IDeA Apx D FINAL</vt:lpwstr>
  </op:property>
  <op:property fmtid="{D5CDD505-2E9C-101B-9397-08002B2CF9AE}" pid="4" name="Keywords">
    <vt:lpwstr>Council meetings;Government, politics and public administration; Local government; Decision making; Council meetings;</vt:lpwstr>
  </op:property>
  <op:property fmtid="{D5CDD505-2E9C-101B-9397-08002B2CF9AE}" pid="5" name="Author">
    <vt:lpwstr>Your council</vt:lpwstr>
  </op:property>
</op:Properties>
</file>